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autoSpaceDE w:val="false"/>
        <w:autoSpaceDN w:val="false"/>
        <w:adjustRightInd w:val="false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SYLLABUS </w:t>
      </w:r>
    </w:p>
    <w:p>
      <w:pPr>
        <w:pStyle w:val="style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Fall semester 202</w:t>
      </w:r>
      <w:r>
        <w:rPr>
          <w:b/>
          <w:sz w:val="20"/>
          <w:szCs w:val="20"/>
          <w:lang w:val="en-US"/>
        </w:rPr>
        <w:t>2</w:t>
      </w:r>
      <w:r>
        <w:rPr>
          <w:b/>
          <w:sz w:val="20"/>
          <w:szCs w:val="20"/>
          <w:lang w:val="en-US"/>
        </w:rPr>
        <w:t>-202</w:t>
      </w:r>
      <w:r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  <w:lang w:val="en-US"/>
        </w:rPr>
        <w:t xml:space="preserve"> academic years</w:t>
      </w:r>
    </w:p>
    <w:p>
      <w:pPr>
        <w:pStyle w:val="style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on</w:t>
      </w:r>
      <w:r>
        <w:rPr>
          <w:b/>
          <w:sz w:val="20"/>
          <w:szCs w:val="20"/>
          <w:lang w:val="en-US"/>
        </w:rPr>
        <w:t xml:space="preserve"> the educational program “</w:t>
      </w:r>
      <w:r>
        <w:rPr>
          <w:b/>
          <w:sz w:val="20"/>
          <w:szCs w:val="20"/>
          <w:lang w:val="en-US"/>
        </w:rPr>
        <w:t>Foreign English: two foreign English</w:t>
      </w:r>
      <w:r>
        <w:rPr>
          <w:b/>
          <w:sz w:val="20"/>
          <w:szCs w:val="20"/>
          <w:lang w:val="en-US"/>
        </w:rPr>
        <w:t>”</w:t>
      </w:r>
    </w:p>
    <w:p>
      <w:pPr>
        <w:pStyle w:val="style0"/>
        <w:jc w:val="center"/>
        <w:rPr>
          <w:b/>
          <w:sz w:val="20"/>
          <w:szCs w:val="20"/>
          <w:lang w:val="en-US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>
        <w:trPr>
          <w:trHeight w:val="265" w:hRule="atLeast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Discipline’s code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Discipline’s title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ndependent</w:t>
            </w:r>
            <w:r>
              <w:rPr>
                <w:b/>
                <w:sz w:val="20"/>
                <w:szCs w:val="20"/>
              </w:rPr>
              <w:t xml:space="preserve"> work of students (IWS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Number of credits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Independent work of student with teacher (IWST)</w:t>
            </w:r>
          </w:p>
        </w:tc>
      </w:tr>
      <w:tr>
        <w:tblPrEx/>
        <w:trPr>
          <w:trHeight w:val="265" w:hRule="atLeast"/>
        </w:trPr>
        <w:tc>
          <w:tcPr>
            <w:tcW w:w="201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Lectures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Practical </w:t>
            </w:r>
            <w:r>
              <w:rPr>
                <w:b/>
                <w:sz w:val="20"/>
                <w:szCs w:val="20"/>
                <w:lang w:val="en-US"/>
              </w:rPr>
              <w:t xml:space="preserve">training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en-US"/>
              </w:rPr>
              <w:t>PT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Laboratory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Lab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b/>
                <w:sz w:val="20"/>
                <w:szCs w:val="20"/>
              </w:rPr>
            </w:pPr>
          </w:p>
        </w:tc>
      </w:tr>
      <w:tr>
        <w:tblPrEx/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</w:t>
            </w:r>
          </w:p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2211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Practical course on Speech communication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Academic course information</w:t>
            </w:r>
          </w:p>
        </w:tc>
      </w:tr>
      <w:tr>
        <w:tblPrEx/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4099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 of education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 of course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Types of lectures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Types of practical training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Form of final control</w:t>
            </w:r>
          </w:p>
        </w:tc>
      </w:tr>
      <w:tr>
        <w:tblPrEx/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lang w:val="en-US"/>
              </w:rPr>
            </w:pPr>
            <w:r>
              <w:rPr>
                <w:lang w:val="en-US"/>
              </w:rPr>
              <w:t>Full-time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rPr>
                <w:sz w:val="20"/>
                <w:szCs w:val="20"/>
                <w:lang w:val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Problem-solving, situational tasks, retelling, role-play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en-US"/>
              </w:rPr>
            </w:pPr>
          </w:p>
        </w:tc>
      </w:tr>
      <w:tr>
        <w:tblPrEx/>
        <w:trPr>
          <w:trHeight w:val="214" w:hRule="atLeast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Lecturer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Alisheva Zh.A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autoSpaceDE w:val="false"/>
              <w:autoSpaceDN w:val="false"/>
              <w:adjustRightIn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writing</w:t>
            </w:r>
          </w:p>
        </w:tc>
      </w:tr>
      <w:tr>
        <w:tblPrEx/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zhazira.askarbekkyzy@gmail.com</w:t>
            </w:r>
          </w:p>
        </w:tc>
        <w:tc>
          <w:tcPr>
            <w:tcW w:w="24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</w:p>
        </w:tc>
      </w:tr>
      <w:tr>
        <w:tblPrEx/>
        <w:trPr/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autoSpaceDE w:val="false"/>
              <w:autoSpaceDN w:val="false"/>
              <w:adjustRightInd w:val="false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8 707 3273770</w:t>
            </w:r>
          </w:p>
        </w:tc>
        <w:tc>
          <w:tcPr>
            <w:tcW w:w="240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pStyle w:val="style0"/>
              <w:rPr>
                <w:sz w:val="20"/>
                <w:szCs w:val="20"/>
              </w:rPr>
            </w:pPr>
          </w:p>
        </w:tc>
      </w:tr>
    </w:tbl>
    <w:p>
      <w:pPr>
        <w:pStyle w:val="style0"/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>
        <w:trPr/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Aim of course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Expected Learning Outcomes (LO)*</w:t>
            </w:r>
          </w:p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As a result of studying the discipline the undergraduate will be able to:</w:t>
            </w:r>
          </w:p>
          <w:p>
            <w:pPr>
              <w:pStyle w:val="style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Indicators of LO achievement (ID)</w:t>
            </w:r>
          </w:p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(for each LO at least 2 indicators)</w:t>
            </w:r>
          </w:p>
        </w:tc>
      </w:tr>
      <w:tr>
        <w:tblPrEx/>
        <w:trPr>
          <w:trHeight w:val="165" w:hRule="atLeast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The course involves both oral and written language as well as learning, learning basic grammar rules, expanding lexical resources, and developing listening skills.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 1 </w:t>
            </w:r>
            <w:r>
              <w:rPr>
                <w:bCs/>
                <w:sz w:val="20"/>
                <w:szCs w:val="20"/>
                <w:lang w:val="en-US"/>
              </w:rPr>
              <w:t>(cognitive) –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to</w:t>
            </w:r>
            <w:r>
              <w:rPr>
                <w:bCs/>
                <w:sz w:val="20"/>
                <w:szCs w:val="20"/>
                <w:lang w:val="en-US"/>
              </w:rPr>
              <w:t xml:space="preserve"> understand P</w:t>
            </w:r>
            <w:bookmarkStart w:id="0" w:name="_GoBack"/>
            <w:bookmarkEnd w:id="0"/>
            <w:r>
              <w:rPr>
                <w:bCs/>
                <w:sz w:val="20"/>
                <w:szCs w:val="20"/>
                <w:lang w:val="en-US"/>
              </w:rPr>
              <w:t>ractical English dialogues, texts, video materials in level B1, as well as to write articles, descriptions and essays.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1.1 </w:t>
            </w:r>
            <w:r>
              <w:rPr>
                <w:bCs/>
                <w:sz w:val="20"/>
                <w:szCs w:val="20"/>
                <w:lang w:val="en-US"/>
              </w:rPr>
              <w:t>to recognize texts by skimming and scanning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1.2 </w:t>
            </w:r>
            <w:r>
              <w:rPr>
                <w:bCs/>
                <w:sz w:val="20"/>
                <w:szCs w:val="20"/>
                <w:lang w:val="en-US"/>
              </w:rPr>
              <w:t>to know the types of essays, the form of description</w:t>
            </w:r>
          </w:p>
        </w:tc>
      </w:tr>
      <w:tr>
        <w:tblPrEx/>
        <w:trPr/>
        <w:tc>
          <w:tcPr>
            <w:tcW w:w="187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LO 2</w:t>
            </w:r>
            <w:r>
              <w:rPr>
                <w:sz w:val="20"/>
                <w:szCs w:val="20"/>
                <w:lang w:val="en-US" w:eastAsia="ar-SA"/>
              </w:rPr>
              <w:t xml:space="preserve"> (</w:t>
            </w:r>
            <w:r>
              <w:rPr>
                <w:sz w:val="20"/>
                <w:szCs w:val="20"/>
                <w:lang w:val="en-US" w:eastAsia="ar-SA"/>
              </w:rPr>
              <w:t>functionsl</w:t>
            </w:r>
            <w:r>
              <w:rPr>
                <w:sz w:val="20"/>
                <w:szCs w:val="20"/>
                <w:lang w:val="en-US" w:eastAsia="ar-SA"/>
              </w:rPr>
              <w:t xml:space="preserve">) - to be able to use new </w:t>
            </w:r>
            <w:r>
              <w:rPr>
                <w:sz w:val="20"/>
                <w:szCs w:val="20"/>
                <w:lang w:val="en-US" w:eastAsia="ar-SA"/>
              </w:rPr>
              <w:t>lexics</w:t>
            </w:r>
            <w:r>
              <w:rPr>
                <w:sz w:val="20"/>
                <w:szCs w:val="20"/>
                <w:lang w:val="en-US" w:eastAsia="ar-SA"/>
              </w:rPr>
              <w:t xml:space="preserve"> of level B1, phrases, phrasal verbs, word constructions.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2.1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learn by heart all the new vocabulary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2.2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apply new phrases by following word structure and meaning</w:t>
            </w:r>
          </w:p>
        </w:tc>
      </w:tr>
      <w:tr>
        <w:tblPrEx/>
        <w:trPr/>
        <w:tc>
          <w:tcPr>
            <w:tcW w:w="187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LO 3</w:t>
            </w:r>
            <w:r>
              <w:rPr>
                <w:sz w:val="20"/>
                <w:szCs w:val="20"/>
                <w:lang w:val="en-US" w:eastAsia="ar-SA"/>
              </w:rPr>
              <w:t xml:space="preserve"> (functional) - to analyze the logical, </w:t>
            </w:r>
            <w:r>
              <w:rPr>
                <w:sz w:val="20"/>
                <w:szCs w:val="20"/>
                <w:lang w:val="en-US" w:eastAsia="ar-SA"/>
              </w:rPr>
              <w:t>problemtic</w:t>
            </w:r>
            <w:r>
              <w:rPr>
                <w:sz w:val="20"/>
                <w:szCs w:val="20"/>
                <w:lang w:val="en-US" w:eastAsia="ar-SA"/>
              </w:rPr>
              <w:t xml:space="preserve"> statements using grammar structures.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3.1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analyze statements that given in speaking part</w:t>
            </w:r>
          </w:p>
          <w:p>
            <w:pPr>
              <w:pStyle w:val="style157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3.2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try to answer all types of questions</w:t>
            </w:r>
          </w:p>
          <w:p>
            <w:pPr>
              <w:pStyle w:val="style157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3.3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to make sentences using grammar rules and structures</w:t>
            </w:r>
          </w:p>
        </w:tc>
      </w:tr>
      <w:tr>
        <w:tblPrEx/>
        <w:trPr>
          <w:trHeight w:val="257" w:hRule="atLeast"/>
        </w:trPr>
        <w:tc>
          <w:tcPr>
            <w:tcW w:w="187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 4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 (systematic) -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to make presentations, role-play, debate, discussion on a </w:t>
            </w:r>
            <w:r>
              <w:rPr>
                <w:bCs/>
                <w:sz w:val="20"/>
                <w:szCs w:val="20"/>
                <w:lang w:val="en-US" w:eastAsia="ar-SA"/>
              </w:rPr>
              <w:t>certian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 topic using ICT.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4.1 </w:t>
            </w:r>
            <w:r>
              <w:rPr>
                <w:bCs/>
                <w:sz w:val="20"/>
                <w:szCs w:val="20"/>
                <w:lang w:val="en-US"/>
              </w:rPr>
              <w:t>to do presentations on topics as (shopping, appearance, holidays, housework, famous cities)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4.2 </w:t>
            </w:r>
            <w:r>
              <w:rPr>
                <w:bCs/>
                <w:sz w:val="20"/>
                <w:szCs w:val="20"/>
                <w:lang w:val="en-US"/>
              </w:rPr>
              <w:t>to discuss the home reading materials</w:t>
            </w:r>
          </w:p>
        </w:tc>
      </w:tr>
      <w:tr>
        <w:tblPrEx/>
        <w:trPr/>
        <w:tc>
          <w:tcPr>
            <w:tcW w:w="187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LO</w:t>
            </w:r>
            <w:r>
              <w:rPr>
                <w:sz w:val="20"/>
                <w:szCs w:val="20"/>
                <w:lang w:val="en-US" w:eastAsia="ar-SA"/>
              </w:rPr>
              <w:t xml:space="preserve"> 5 </w:t>
            </w:r>
            <w:r>
              <w:rPr>
                <w:bCs/>
                <w:sz w:val="20"/>
                <w:szCs w:val="20"/>
                <w:lang w:val="en-US" w:eastAsia="ar-SA"/>
              </w:rPr>
              <w:t>(systematic) -</w:t>
            </w:r>
            <w:r>
              <w:rPr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to create an English atmosphere applying English </w:t>
            </w:r>
            <w:r>
              <w:rPr>
                <w:bCs/>
                <w:sz w:val="20"/>
                <w:szCs w:val="20"/>
                <w:lang w:val="en-US" w:eastAsia="ar-SA"/>
              </w:rPr>
              <w:t>langauage</w:t>
            </w:r>
            <w:r>
              <w:rPr>
                <w:bCs/>
                <w:sz w:val="20"/>
                <w:szCs w:val="20"/>
                <w:lang w:val="en-US" w:eastAsia="ar-SA"/>
              </w:rPr>
              <w:t xml:space="preserve"> in every class.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5.1 </w:t>
            </w:r>
            <w:r>
              <w:rPr>
                <w:bCs/>
                <w:sz w:val="20"/>
                <w:szCs w:val="20"/>
                <w:lang w:val="en-US"/>
              </w:rPr>
              <w:t>annotate, present in English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5.2 </w:t>
            </w:r>
            <w:r>
              <w:rPr>
                <w:bCs/>
                <w:sz w:val="20"/>
                <w:szCs w:val="20"/>
                <w:lang w:val="en-US"/>
              </w:rPr>
              <w:t>express all the ideas in English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/>
        <w:trPr>
          <w:trHeight w:val="288" w:hRule="atLeast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  <w:r>
              <w:rPr>
                <w:rFonts w:eastAsia="SimSun"/>
                <w:bCs/>
                <w:sz w:val="20"/>
                <w:szCs w:val="20"/>
                <w:lang w:val="en-US" w:eastAsia="zh-CN"/>
              </w:rPr>
              <w:t>F</w:t>
            </w:r>
            <w:r>
              <w:rPr>
                <w:bCs/>
                <w:sz w:val="20"/>
                <w:szCs w:val="20"/>
                <w:lang w:val="en-US"/>
              </w:rPr>
              <w:t xml:space="preserve">oreign </w:t>
            </w:r>
            <w:r>
              <w:rPr>
                <w:bCs/>
                <w:sz w:val="20"/>
                <w:szCs w:val="20"/>
                <w:lang w:val="en-US"/>
              </w:rPr>
              <w:t>langauge</w:t>
            </w:r>
          </w:p>
        </w:tc>
      </w:tr>
      <w:tr>
        <w:tblPrEx/>
        <w:trPr>
          <w:trHeight w:val="288" w:hRule="atLeast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Post requisites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Basic foreign language  B2</w:t>
            </w:r>
          </w:p>
        </w:tc>
      </w:tr>
      <w:tr>
        <w:tblPrEx/>
        <w:trPr/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Information resources</w:t>
            </w:r>
            <w:r>
              <w:rPr>
                <w:rStyle w:val="style4098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Style w:val="style4098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Literature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**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en-US"/>
              </w:rPr>
              <w:t>Q: Skills for Success. Listening and Speaking. Miles Craven, Kristin D. Sherman. Oxford University Press. 2018.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Q: Skills for Success. Reading and Writing. Margot F. </w:t>
            </w:r>
            <w:r>
              <w:rPr>
                <w:color w:val="000000"/>
                <w:sz w:val="20"/>
                <w:szCs w:val="20"/>
                <w:lang w:val="en-US"/>
              </w:rPr>
              <w:t>Gramer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, Colin S. Ward. Oxford University Press. 2018.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Oxford Word Skills. Ruth </w:t>
            </w:r>
            <w:r>
              <w:rPr>
                <w:color w:val="000000"/>
                <w:sz w:val="20"/>
                <w:szCs w:val="20"/>
                <w:lang w:val="en-US"/>
              </w:rPr>
              <w:t>Gairns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and Stuart Redman. </w:t>
            </w:r>
            <w:r>
              <w:rPr>
                <w:color w:val="000000"/>
                <w:sz w:val="20"/>
                <w:szCs w:val="20"/>
                <w:lang w:val="en-US"/>
              </w:rPr>
              <w:t>Inermediate</w:t>
            </w:r>
            <w:r>
              <w:rPr>
                <w:color w:val="000000"/>
                <w:sz w:val="20"/>
                <w:szCs w:val="20"/>
                <w:lang w:val="en-US"/>
              </w:rPr>
              <w:t>. Oxford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English Vocabulary In Use. Stuart Redman. Pre-intermediate and Intermediate. Fourth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5.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English Idioms In Use. Michael McCarthy Felicity O’Dell. Intermediate. Second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6. English Collocations In Use. Michael McCarthy Felicity O’Dell. Intermediate. Second Edition. Cambridge University Press. 2017.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7. IELTS Speaking part 2. 179 Samples. Scholl of English and Test Preparation. 2019.</w:t>
            </w:r>
          </w:p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b/>
                <w:sz w:val="20"/>
                <w:szCs w:val="20"/>
                <w:lang w:val="en-US"/>
              </w:rPr>
            </w:pPr>
          </w:p>
          <w:p>
            <w:pPr>
              <w:pStyle w:val="style94"/>
              <w:spacing w:before="0" w:beforeAutospacing="false" w:after="0" w:afterAutospacing="false"/>
              <w:ind w:left="82" w:firstLine="284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Internet resources:</w:t>
            </w:r>
          </w:p>
          <w:p>
            <w:pPr>
              <w:pStyle w:val="style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Internet resources (at least 3-5)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"http://elibrary.kaznu.kz/ru"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http://elibrary.kaznu.kz/ru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"https://www.youtube.com/watch?v=DaW-Kha9qAM"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https://www.youtube.com/watch?v=DaW-Kha9qAM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"https://www.bbc.co.uk/learningenglish/"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https://www.bbc.co.uk/learningenglish/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"https://www.youtube.com/watch?v=hOghoQY57iY"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lang w:val="kk-KZ"/>
              </w:rPr>
              <w:t>https://www.youtube.com/watch?v=hOghoQY57iY</w:t>
            </w:r>
            <w:r>
              <w:rPr/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20"/>
                <w:szCs w:val="20"/>
                <w:lang w:val="kk-KZ"/>
              </w:rPr>
            </w:pPr>
            <w:r>
              <w:rPr/>
              <w:fldChar w:fldCharType="begin"/>
            </w:r>
            <w:r>
              <w:instrText xml:space="preserve"> HYPERLINK "https://www.youtube.com/c/engvidAdam" </w:instrText>
            </w:r>
            <w:r>
              <w:rPr/>
              <w:fldChar w:fldCharType="separate"/>
            </w:r>
            <w:r>
              <w:rPr>
                <w:rStyle w:val="style85"/>
                <w:rFonts w:ascii="Arial" w:cs="Arial" w:hAnsi="Arial"/>
                <w:sz w:val="21"/>
                <w:szCs w:val="21"/>
                <w:shd w:val="clear" w:color="auto" w:fill="f9f9f9"/>
                <w:lang w:val="en-US"/>
              </w:rPr>
              <w:t xml:space="preserve">Adam’s English Lessons · </w:t>
            </w:r>
            <w:r>
              <w:rPr>
                <w:rStyle w:val="style85"/>
                <w:rFonts w:ascii="Arial" w:cs="Arial" w:hAnsi="Arial"/>
                <w:sz w:val="21"/>
                <w:szCs w:val="21"/>
                <w:shd w:val="clear" w:color="auto" w:fill="f9f9f9"/>
                <w:lang w:val="en-US"/>
              </w:rPr>
              <w:t>engVid</w:t>
            </w:r>
            <w:r>
              <w:rPr/>
              <w:fldChar w:fldCharType="end"/>
            </w:r>
          </w:p>
        </w:tc>
      </w:tr>
    </w:tbl>
    <w:p>
      <w:pPr>
        <w:pStyle w:val="style0"/>
        <w:rPr>
          <w:vanish/>
          <w:sz w:val="20"/>
          <w:szCs w:val="20"/>
          <w:lang w:val="en-US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48"/>
      </w:tblGrid>
      <w:tr>
        <w:trPr/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Academic policy of the course in the context of university moral and ethical values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Academic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Behavior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Rules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All students are required to register for the MOOC. The deadlines for completing the modules of the online course </w:t>
            </w:r>
            <w:r>
              <w:rPr>
                <w:sz w:val="20"/>
                <w:szCs w:val="20"/>
                <w:lang w:val="en-US"/>
              </w:rPr>
              <w:t>must be strictly observed</w:t>
            </w:r>
            <w:r>
              <w:rPr>
                <w:sz w:val="20"/>
                <w:szCs w:val="20"/>
                <w:lang w:val="en-US"/>
              </w:rPr>
              <w:t xml:space="preserve"> in accordance with the schedule for studying the discipline. Leave in case of current MOOC or SPOC courses.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ATTENTION! </w:t>
            </w:r>
            <w:r>
              <w:rPr>
                <w:sz w:val="20"/>
                <w:szCs w:val="20"/>
                <w:lang w:val="en-US"/>
              </w:rPr>
              <w:t xml:space="preserve">Failure to meet deadlines results in loss of points! The deadline for each task </w:t>
            </w:r>
            <w:r>
              <w:rPr>
                <w:sz w:val="20"/>
                <w:szCs w:val="20"/>
                <w:lang w:val="en-US"/>
              </w:rPr>
              <w:t>is indicated</w:t>
            </w:r>
            <w:r>
              <w:rPr>
                <w:sz w:val="20"/>
                <w:szCs w:val="20"/>
                <w:lang w:val="en-US"/>
              </w:rPr>
              <w:t xml:space="preserve"> in the calendar (schedule) for the implementation of the content of the training course, as well as in the MOOC. Leave in case of current MOOC or SPOC courses.</w:t>
            </w:r>
          </w:p>
          <w:p>
            <w:pPr>
              <w:pStyle w:val="style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Academic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values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 w:eastAsia="ar-SA"/>
              </w:rPr>
              <w:t xml:space="preserve">Practical trainings/laboratories, </w:t>
            </w:r>
            <w:r>
              <w:rPr>
                <w:sz w:val="20"/>
                <w:szCs w:val="20"/>
              </w:rPr>
              <w:t>IWS</w:t>
            </w:r>
            <w:r>
              <w:rPr>
                <w:sz w:val="20"/>
                <w:szCs w:val="20"/>
                <w:lang w:val="en-US" w:eastAsia="ar-SA"/>
              </w:rPr>
              <w:t xml:space="preserve"> should be independent, creative.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 Plagiarism, forgery, cheating at all stages of control are unacceptable.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- Students with disabilities can receive counseling at e-mail *******@gmail.com.</w:t>
            </w:r>
          </w:p>
        </w:tc>
      </w:tr>
      <w:tr>
        <w:tblPrEx/>
        <w:trPr>
          <w:trHeight w:val="58" w:hRule="atLeast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Evaluation and attestation policy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Criteria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based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evaluation</w:t>
            </w:r>
            <w:r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assessment</w:t>
            </w:r>
            <w:r>
              <w:rPr>
                <w:sz w:val="20"/>
                <w:szCs w:val="20"/>
                <w:lang w:val="en-US"/>
              </w:rPr>
              <w:t xml:space="preserve"> of learning outcomes in relation to descriptors (verification of the formation of competencies in midterm control and exams).</w:t>
            </w:r>
          </w:p>
          <w:p>
            <w:pPr>
              <w:pStyle w:val="style0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Summative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evaluation</w:t>
            </w:r>
            <w:r>
              <w:rPr>
                <w:b/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assessment of work activity in an audience (at a webinar); assessment of the completed task.</w:t>
            </w:r>
          </w:p>
        </w:tc>
      </w:tr>
    </w:tbl>
    <w:p>
      <w:pPr>
        <w:pStyle w:val="style0"/>
        <w:jc w:val="center"/>
        <w:rPr>
          <w:b/>
          <w:sz w:val="20"/>
          <w:szCs w:val="20"/>
        </w:rPr>
      </w:pPr>
    </w:p>
    <w:p>
      <w:pPr>
        <w:pStyle w:val="style0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CALENDAR (SCHEDULE) THE IMPLEMENTATION OF THE COURSE CONTENT</w:t>
      </w:r>
      <w:r>
        <w:rPr>
          <w:b/>
          <w:sz w:val="20"/>
          <w:szCs w:val="20"/>
          <w:lang w:val="en-US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804"/>
        <w:gridCol w:w="993"/>
        <w:gridCol w:w="997"/>
      </w:tblGrid>
      <w:tr>
        <w:trPr>
          <w:cantSplit/>
          <w:trHeight w:val="477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Max.</w:t>
            </w:r>
          </w:p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score</w:t>
            </w:r>
            <w:r>
              <w:rPr>
                <w:bCs/>
                <w:sz w:val="20"/>
                <w:szCs w:val="20"/>
                <w:lang w:val="en-US"/>
              </w:rPr>
              <w:t>***</w:t>
            </w:r>
          </w:p>
        </w:tc>
      </w:tr>
      <w:tr>
        <w:tblPrEx/>
        <w:trPr>
          <w:trHeight w:val="211" w:hRule="atLeast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center"/>
              <w:rPr>
                <w:b/>
                <w:bCs/>
                <w:color w:val="ff0000"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 xml:space="preserve">Module 1 </w:t>
            </w:r>
            <w:r>
              <w:rPr>
                <w:sz w:val="20"/>
                <w:szCs w:val="20"/>
                <w:lang w:val="en-US"/>
              </w:rPr>
              <w:t>Speech communication</w:t>
            </w:r>
            <w:r>
              <w:rPr>
                <w:sz w:val="20"/>
                <w:szCs w:val="20"/>
                <w:lang w:val="en-US"/>
              </w:rPr>
              <w:t xml:space="preserve"> Part 1</w:t>
            </w:r>
          </w:p>
        </w:tc>
      </w:tr>
      <w:tr>
        <w:tblPrEx/>
        <w:trPr>
          <w:trHeight w:val="403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1 First Impressions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 xml:space="preserve">Unit Question: Are first impressions accurate? Listening: making inferences. Vocabulary: suffixes. Grammar: auxiliary verbs do, be, have. Pronunciation: contractions with auxiliary verbs. </w:t>
            </w:r>
            <w:r>
              <w:rPr>
                <w:bCs/>
                <w:sz w:val="20"/>
                <w:szCs w:val="20"/>
                <w:lang w:val="en-US"/>
              </w:rPr>
              <w:t>Speaking:</w:t>
            </w:r>
            <w:r>
              <w:rPr>
                <w:bCs/>
                <w:sz w:val="20"/>
                <w:szCs w:val="20"/>
                <w:lang w:val="en-US"/>
              </w:rPr>
              <w:t xml:space="preserve"> taking conversational turns.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trHeight w:val="159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1</w:t>
            </w:r>
            <w:r>
              <w:rPr>
                <w:bCs/>
                <w:sz w:val="20"/>
                <w:szCs w:val="20"/>
                <w:lang w:val="en-US"/>
              </w:rPr>
              <w:t xml:space="preserve"> B.</w:t>
            </w:r>
            <w:r>
              <w:rPr>
                <w:bCs/>
                <w:sz w:val="20"/>
                <w:szCs w:val="20"/>
                <w:lang w:val="en-US"/>
              </w:rPr>
              <w:t xml:space="preserve"> First Impressions. Unit Question: </w:t>
            </w:r>
            <w:r>
              <w:rPr>
                <w:bCs/>
                <w:sz w:val="20"/>
                <w:szCs w:val="20"/>
                <w:lang w:val="en-US"/>
              </w:rPr>
              <w:t>How do you make a good first impression</w:t>
            </w:r>
            <w:r>
              <w:rPr>
                <w:bCs/>
                <w:sz w:val="20"/>
                <w:szCs w:val="20"/>
                <w:lang w:val="en-US"/>
              </w:rPr>
              <w:t xml:space="preserve">? </w:t>
            </w:r>
            <w:r>
              <w:rPr>
                <w:bCs/>
                <w:sz w:val="20"/>
                <w:szCs w:val="20"/>
                <w:lang w:val="en-US"/>
              </w:rPr>
              <w:t>Reading</w:t>
            </w:r>
            <w:r>
              <w:rPr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bCs/>
                <w:sz w:val="20"/>
                <w:szCs w:val="20"/>
                <w:lang w:val="en-US"/>
              </w:rPr>
              <w:t>identifying main ideas supporting details</w:t>
            </w:r>
            <w:r>
              <w:rPr>
                <w:bCs/>
                <w:sz w:val="20"/>
                <w:szCs w:val="20"/>
                <w:lang w:val="en-US"/>
              </w:rPr>
              <w:t xml:space="preserve">. Vocabulary: </w:t>
            </w:r>
            <w:r>
              <w:rPr>
                <w:bCs/>
                <w:sz w:val="20"/>
                <w:szCs w:val="20"/>
                <w:lang w:val="en-US"/>
              </w:rPr>
              <w:t>using the dictionary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 xml:space="preserve">Writing: organizing and developing a paragraph. </w:t>
            </w:r>
            <w:r>
              <w:rPr>
                <w:bCs/>
                <w:sz w:val="20"/>
                <w:szCs w:val="20"/>
                <w:lang w:val="en-US"/>
              </w:rPr>
              <w:t>Grammar:</w:t>
            </w:r>
            <w:r>
              <w:rPr>
                <w:bCs/>
                <w:sz w:val="20"/>
                <w:szCs w:val="20"/>
                <w:lang w:val="en-US"/>
              </w:rPr>
              <w:t xml:space="preserve"> read conditionals: present and future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trHeight w:val="239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>IWST 1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>ssay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 (250 words) and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 </w:t>
            </w:r>
            <w:r>
              <w:rPr>
                <w:sz w:val="20"/>
                <w:szCs w:val="20"/>
                <w:highlight w:val="yellow"/>
                <w:lang w:val="en-US"/>
              </w:rPr>
              <w:t>1-minute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 speech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. </w:t>
            </w:r>
            <w:r>
              <w:rPr>
                <w:sz w:val="20"/>
                <w:szCs w:val="20"/>
                <w:highlight w:val="yellow"/>
                <w:lang w:val="en-US"/>
              </w:rPr>
              <w:t>Topic</w:t>
            </w:r>
            <w:r>
              <w:rPr>
                <w:sz w:val="20"/>
                <w:szCs w:val="20"/>
                <w:highlight w:val="yellow"/>
                <w:lang w:val="en-US"/>
              </w:rPr>
              <w:t>: First impressions</w:t>
            </w:r>
            <w:r>
              <w:rPr>
                <w:sz w:val="20"/>
                <w:szCs w:val="20"/>
                <w:highlight w:val="yellow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trHeight w:val="159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2 Food and Taste. Unit Question: What is more important: taste or nutrition? Listening: listening for causes and effects. Vocabulary: adjective-noun collocations. Grammar: quantifiers with count/</w:t>
            </w:r>
            <w:r>
              <w:rPr>
                <w:bCs/>
                <w:sz w:val="20"/>
                <w:szCs w:val="20"/>
                <w:lang w:val="en-US"/>
              </w:rPr>
              <w:t>noncount</w:t>
            </w:r>
            <w:r>
              <w:rPr>
                <w:bCs/>
                <w:sz w:val="20"/>
                <w:szCs w:val="20"/>
                <w:lang w:val="en-US"/>
              </w:rPr>
              <w:t xml:space="preserve"> nouns. Pronunciation: links with /j/ and /w/. Speaking: giving advice.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4.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3 Success. Unit Question: What can we learn from success and failure? Listening: listening for examples. Vocabulary: prefixes. Grammar: gerunds and infinitives as the objects of verbs. Pronunciation: stress on important words. Speaking: asking for and giving clarification.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IWS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.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Colloquium.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1-15 units. 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Oxford Word Skills. Ruth </w:t>
            </w:r>
            <w:r>
              <w:rPr>
                <w:sz w:val="20"/>
                <w:szCs w:val="20"/>
                <w:highlight w:val="cyan"/>
                <w:lang w:val="en-US"/>
              </w:rPr>
              <w:t>Gairns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and Stuart Redman. </w:t>
            </w:r>
            <w:r>
              <w:rPr>
                <w:sz w:val="20"/>
                <w:szCs w:val="20"/>
                <w:highlight w:val="cyan"/>
                <w:lang w:val="en-US"/>
              </w:rPr>
              <w:t>Inermediate</w:t>
            </w:r>
            <w:r>
              <w:rPr>
                <w:sz w:val="20"/>
                <w:szCs w:val="20"/>
                <w:highlight w:val="cyan"/>
                <w:lang w:val="en-US"/>
              </w:rPr>
              <w:t>. Oxford University Press. 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15</w:t>
            </w:r>
          </w:p>
        </w:tc>
      </w:tr>
      <w:tr>
        <w:tblPrEx/>
        <w:trPr>
          <w:trHeight w:val="150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5.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3</w:t>
            </w:r>
            <w:r>
              <w:rPr>
                <w:bCs/>
                <w:sz w:val="20"/>
                <w:szCs w:val="20"/>
                <w:lang w:val="en-US"/>
              </w:rPr>
              <w:t xml:space="preserve"> B.</w:t>
            </w:r>
            <w:r>
              <w:rPr>
                <w:bCs/>
                <w:sz w:val="20"/>
                <w:szCs w:val="20"/>
                <w:lang w:val="en-US"/>
              </w:rPr>
              <w:t xml:space="preserve"> Success. Unit Question: What </w:t>
            </w:r>
            <w:r>
              <w:rPr>
                <w:bCs/>
                <w:sz w:val="20"/>
                <w:szCs w:val="20"/>
                <w:lang w:val="en-US"/>
              </w:rPr>
              <w:t>does it take to be successful</w:t>
            </w:r>
            <w:r>
              <w:rPr>
                <w:bCs/>
                <w:sz w:val="20"/>
                <w:szCs w:val="20"/>
                <w:lang w:val="en-US"/>
              </w:rPr>
              <w:t>?</w:t>
            </w:r>
            <w:r>
              <w:rPr>
                <w:bCs/>
                <w:sz w:val="20"/>
                <w:szCs w:val="20"/>
                <w:lang w:val="en-US"/>
              </w:rPr>
              <w:t xml:space="preserve"> Reading</w:t>
            </w:r>
            <w:r>
              <w:rPr>
                <w:bCs/>
                <w:sz w:val="20"/>
                <w:szCs w:val="20"/>
                <w:lang w:val="en-US"/>
              </w:rPr>
              <w:t>: s</w:t>
            </w:r>
            <w:r>
              <w:rPr>
                <w:bCs/>
                <w:sz w:val="20"/>
                <w:szCs w:val="20"/>
                <w:lang w:val="en-US"/>
              </w:rPr>
              <w:t>cann</w:t>
            </w:r>
            <w:r>
              <w:rPr>
                <w:bCs/>
                <w:sz w:val="20"/>
                <w:szCs w:val="20"/>
                <w:lang w:val="en-US"/>
              </w:rPr>
              <w:t xml:space="preserve">ing </w:t>
            </w:r>
            <w:r>
              <w:rPr>
                <w:bCs/>
                <w:sz w:val="20"/>
                <w:szCs w:val="20"/>
                <w:lang w:val="en-US"/>
              </w:rPr>
              <w:t>a text</w:t>
            </w:r>
            <w:r>
              <w:rPr>
                <w:bCs/>
                <w:sz w:val="20"/>
                <w:szCs w:val="20"/>
                <w:lang w:val="en-US"/>
              </w:rPr>
              <w:t xml:space="preserve">. Vocabulary: </w:t>
            </w:r>
            <w:r>
              <w:rPr>
                <w:bCs/>
                <w:sz w:val="20"/>
                <w:szCs w:val="20"/>
                <w:lang w:val="en-US"/>
              </w:rPr>
              <w:t>collocation</w:t>
            </w:r>
            <w:r>
              <w:rPr>
                <w:bCs/>
                <w:sz w:val="20"/>
                <w:szCs w:val="20"/>
                <w:lang w:val="en-US"/>
              </w:rPr>
              <w:t>s. Writing: organizing an</w:t>
            </w:r>
            <w:r>
              <w:rPr>
                <w:bCs/>
                <w:sz w:val="20"/>
                <w:szCs w:val="20"/>
                <w:lang w:val="en-US"/>
              </w:rPr>
              <w:t xml:space="preserve"> opinion</w:t>
            </w:r>
            <w:r>
              <w:rPr>
                <w:bCs/>
                <w:sz w:val="20"/>
                <w:szCs w:val="20"/>
                <w:lang w:val="en-US"/>
              </w:rPr>
              <w:t xml:space="preserve"> paragraph. Grammar: </w:t>
            </w:r>
            <w:r>
              <w:rPr>
                <w:bCs/>
                <w:sz w:val="20"/>
                <w:szCs w:val="20"/>
                <w:lang w:val="en-US"/>
              </w:rPr>
              <w:t>subject-verb agreement.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blPrEx/>
        <w:trPr>
          <w:trHeight w:val="311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Success.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trHeight w:val="207" w:hRule="atLeast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center"/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Module 2</w:t>
            </w:r>
            <w: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Speech communication</w:t>
            </w:r>
            <w:r>
              <w:rPr>
                <w:sz w:val="20"/>
                <w:szCs w:val="20"/>
                <w:lang w:val="en-US"/>
              </w:rPr>
              <w:t xml:space="preserve"> Part 2</w:t>
            </w:r>
          </w:p>
        </w:tc>
      </w:tr>
      <w:tr>
        <w:tblPrEx/>
        <w:trPr>
          <w:trHeight w:val="319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6.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Unit 4 New Perspectives. Unit Question: Is change good or bad? Listening: taking notes using a T-chart. Vocabulary: using the dictionary. Grammar: simple past and </w:t>
            </w:r>
            <w:r>
              <w:rPr>
                <w:bCs/>
                <w:sz w:val="20"/>
                <w:szCs w:val="20"/>
                <w:lang w:val="en-US"/>
              </w:rPr>
              <w:t>present perfect. Pronunciation: variety of intonation to show interest. Speaking: asking for and giving reasons.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7.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4</w:t>
            </w:r>
            <w:r>
              <w:rPr>
                <w:bCs/>
                <w:sz w:val="20"/>
                <w:szCs w:val="20"/>
                <w:lang w:val="en-US"/>
              </w:rPr>
              <w:t xml:space="preserve"> B.</w:t>
            </w:r>
            <w:r>
              <w:rPr>
                <w:bCs/>
                <w:sz w:val="20"/>
                <w:szCs w:val="20"/>
                <w:lang w:val="en-US"/>
              </w:rPr>
              <w:t xml:space="preserve"> New Perspectives. Unit Question: </w:t>
            </w:r>
            <w:r>
              <w:rPr>
                <w:bCs/>
                <w:sz w:val="20"/>
                <w:szCs w:val="20"/>
                <w:lang w:val="en-US"/>
              </w:rPr>
              <w:t>How has technology affected your life</w:t>
            </w:r>
            <w:r>
              <w:rPr>
                <w:bCs/>
                <w:sz w:val="20"/>
                <w:szCs w:val="20"/>
                <w:lang w:val="en-US"/>
              </w:rPr>
              <w:t xml:space="preserve">? </w:t>
            </w:r>
            <w:r>
              <w:rPr>
                <w:bCs/>
                <w:sz w:val="20"/>
                <w:szCs w:val="20"/>
                <w:lang w:val="en-US"/>
              </w:rPr>
              <w:t>Read</w:t>
            </w:r>
            <w:r>
              <w:rPr>
                <w:bCs/>
                <w:sz w:val="20"/>
                <w:szCs w:val="20"/>
                <w:lang w:val="en-US"/>
              </w:rPr>
              <w:t xml:space="preserve">ing: taking notes. Vocabulary: </w:t>
            </w:r>
            <w:r>
              <w:rPr>
                <w:bCs/>
                <w:sz w:val="20"/>
                <w:szCs w:val="20"/>
                <w:lang w:val="en-US"/>
              </w:rPr>
              <w:t>synonyms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>Writing</w:t>
            </w:r>
            <w:r>
              <w:rPr>
                <w:bCs/>
                <w:sz w:val="20"/>
                <w:szCs w:val="20"/>
                <w:lang w:val="en-US"/>
              </w:rPr>
              <w:t xml:space="preserve">: </w:t>
            </w:r>
            <w:r>
              <w:rPr>
                <w:bCs/>
                <w:sz w:val="20"/>
                <w:szCs w:val="20"/>
                <w:lang w:val="en-US"/>
              </w:rPr>
              <w:t>writing a summary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 xml:space="preserve"> Grammar: parallel structure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New Perspectives.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trHeight w:val="296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IWS 2.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Colloquium.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15-30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 units. 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Oxford Word Skills. Ruth </w:t>
            </w:r>
            <w:r>
              <w:rPr>
                <w:sz w:val="20"/>
                <w:szCs w:val="20"/>
                <w:highlight w:val="cyan"/>
                <w:lang w:val="en-US"/>
              </w:rPr>
              <w:t>Gairns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and Stuart Redman. </w:t>
            </w:r>
            <w:r>
              <w:rPr>
                <w:sz w:val="20"/>
                <w:szCs w:val="20"/>
                <w:highlight w:val="cyan"/>
                <w:lang w:val="en-US"/>
              </w:rPr>
              <w:t>Inermediate</w:t>
            </w:r>
            <w:r>
              <w:rPr>
                <w:sz w:val="20"/>
                <w:szCs w:val="20"/>
                <w:highlight w:val="cyan"/>
                <w:lang w:val="en-US"/>
              </w:rPr>
              <w:t>. Oxford University Press. 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LEVEL CONTROL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100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8.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5 Responsibility. Unit Question: Are we responsible for the world we live in? Listening: inferring a speaker’s attitude. Vocabulary: using the dictionary. Grammar: tag questions. Pronunciation: intonation in tag questions. Speaking: leading a group discussion.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trHeight w:val="274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9.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6 Advertising. Unit Question: How can advertisers change our behavior? Listening: identifying fact and opinion. Vocabulary: context clues to identify meaning. Grammar: modals expressing attitude. Pronunciation: intonation in questions. Speaking: giving and supporting your opinions.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trHeight w:val="274" w:hRule="atLeast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Advertising</w:t>
            </w:r>
            <w:r>
              <w:rPr>
                <w:sz w:val="20"/>
                <w:szCs w:val="20"/>
                <w:highlight w:val="yellow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10.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Unit 6 </w:t>
            </w:r>
            <w:r>
              <w:rPr>
                <w:bCs/>
                <w:sz w:val="20"/>
                <w:szCs w:val="20"/>
                <w:lang w:val="en-US"/>
              </w:rPr>
              <w:t xml:space="preserve">B. </w:t>
            </w:r>
            <w:r>
              <w:rPr>
                <w:bCs/>
                <w:sz w:val="20"/>
                <w:szCs w:val="20"/>
                <w:lang w:val="en-US"/>
              </w:rPr>
              <w:t xml:space="preserve">Advertising. Unit Question: </w:t>
            </w:r>
            <w:r>
              <w:rPr>
                <w:bCs/>
                <w:sz w:val="20"/>
                <w:szCs w:val="20"/>
                <w:lang w:val="en-US"/>
              </w:rPr>
              <w:t>Does</w:t>
            </w:r>
            <w:r>
              <w:rPr>
                <w:bCs/>
                <w:sz w:val="20"/>
                <w:szCs w:val="20"/>
                <w:lang w:val="en-US"/>
              </w:rPr>
              <w:t xml:space="preserve"> a</w:t>
            </w:r>
            <w:r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  <w:lang w:val="en-US"/>
              </w:rPr>
              <w:t>vertis</w:t>
            </w:r>
            <w:r>
              <w:rPr>
                <w:bCs/>
                <w:sz w:val="20"/>
                <w:szCs w:val="20"/>
                <w:lang w:val="en-US"/>
              </w:rPr>
              <w:t>ing help or harm us</w:t>
            </w:r>
            <w:r>
              <w:rPr>
                <w:bCs/>
                <w:sz w:val="20"/>
                <w:szCs w:val="20"/>
                <w:lang w:val="en-US"/>
              </w:rPr>
              <w:t xml:space="preserve">? Reading: </w:t>
            </w:r>
            <w:r>
              <w:rPr>
                <w:bCs/>
                <w:sz w:val="20"/>
                <w:szCs w:val="20"/>
                <w:lang w:val="en-US"/>
              </w:rPr>
              <w:t>distinguishing facts from opinions</w:t>
            </w:r>
            <w:r>
              <w:rPr>
                <w:bCs/>
                <w:sz w:val="20"/>
                <w:szCs w:val="20"/>
                <w:lang w:val="en-US"/>
              </w:rPr>
              <w:t xml:space="preserve">. Vocabulary: </w:t>
            </w:r>
            <w:r>
              <w:rPr>
                <w:bCs/>
                <w:sz w:val="20"/>
                <w:szCs w:val="20"/>
                <w:lang w:val="en-US"/>
              </w:rPr>
              <w:t>suffixes</w:t>
            </w:r>
            <w:r>
              <w:rPr>
                <w:bCs/>
                <w:sz w:val="20"/>
                <w:szCs w:val="20"/>
                <w:lang w:val="en-US"/>
              </w:rPr>
              <w:t>. Writing: writing a</w:t>
            </w:r>
            <w:r>
              <w:rPr>
                <w:bCs/>
                <w:sz w:val="20"/>
                <w:szCs w:val="20"/>
                <w:lang w:val="en-US"/>
              </w:rPr>
              <w:t xml:space="preserve"> letter to the editor</w:t>
            </w:r>
            <w:r>
              <w:rPr>
                <w:bCs/>
                <w:sz w:val="20"/>
                <w:szCs w:val="20"/>
                <w:lang w:val="en-US"/>
              </w:rPr>
              <w:t>. Grammar</w:t>
            </w:r>
            <w:r>
              <w:rPr>
                <w:bCs/>
                <w:sz w:val="20"/>
                <w:szCs w:val="20"/>
                <w:lang w:val="en-US"/>
              </w:rPr>
              <w:t>: compound sentences.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IWS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.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Colloquium. 30-45 units. 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Oxford Word Skills. Ruth </w:t>
            </w:r>
            <w:r>
              <w:rPr>
                <w:sz w:val="20"/>
                <w:szCs w:val="20"/>
                <w:highlight w:val="cyan"/>
                <w:lang w:val="en-US"/>
              </w:rPr>
              <w:t>Gairns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and Stuart Redman. </w:t>
            </w:r>
            <w:r>
              <w:rPr>
                <w:sz w:val="20"/>
                <w:szCs w:val="20"/>
                <w:highlight w:val="cyan"/>
                <w:lang w:val="en-US"/>
              </w:rPr>
              <w:t>Inermediate</w:t>
            </w:r>
            <w:r>
              <w:rPr>
                <w:sz w:val="20"/>
                <w:szCs w:val="20"/>
                <w:highlight w:val="cyan"/>
                <w:lang w:val="en-US"/>
              </w:rPr>
              <w:t>. Oxford University Press. 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Module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>
              <w:rPr>
                <w:b/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Speech communication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Part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11.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Unit 7 Risk. Unit Question: What risks are good to take? Listening: identifying amounts. Vocabulary: word families. Grammar: past perfect. Pronunciation: contraction of </w:t>
            </w:r>
            <w:r>
              <w:rPr>
                <w:bCs/>
                <w:i/>
                <w:sz w:val="20"/>
                <w:szCs w:val="20"/>
                <w:lang w:val="en-US"/>
              </w:rPr>
              <w:t>had</w:t>
            </w:r>
            <w:r>
              <w:rPr>
                <w:bCs/>
                <w:sz w:val="20"/>
                <w:szCs w:val="20"/>
                <w:lang w:val="en-US"/>
              </w:rPr>
              <w:t>..</w:t>
            </w:r>
            <w:r>
              <w:rPr>
                <w:bCs/>
                <w:sz w:val="20"/>
                <w:szCs w:val="20"/>
                <w:lang w:val="en-US"/>
              </w:rPr>
              <w:t xml:space="preserve"> Speaking: giving a short presentation.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12.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Unit 8 Cities. Unit Question: What do our cities say about us? Listening: understanding figurative meaning. Vocabulary: phrasal verbs. Grammar: separable and inseparable phrasal verbs. Pronunciation: links between consonants and vowels. Speaking: recapping a presentation.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Cities.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13.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9 Money. Unit Question: Can money buy happiness? Listening: listening for signposts. Vocabulary: using the dictionary. Grammar: types of sentences. Pronunciation: intonation in different types of sentences. Speaking: agreeing and disagreeing.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 14.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/>
              </w:rPr>
              <w:t>Unit 10 Keeping in touch. Unit Question: Do we need technology to communicate long distance? Listening: recognizing and understanding definitions. Vocabulary: idioms. Grammar: comparatives. Pronunciation: unstressed connecting words. Speaking: expressing emotions.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IWST 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  <w:highlight w:val="yellow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E</w:t>
            </w:r>
            <w:r>
              <w:rPr>
                <w:sz w:val="20"/>
                <w:szCs w:val="20"/>
                <w:highlight w:val="yellow"/>
                <w:lang w:val="en-US"/>
              </w:rPr>
              <w:t xml:space="preserve">ssay (250 words) and 1-minute speech. Topic: </w:t>
            </w:r>
            <w:r>
              <w:rPr>
                <w:bCs/>
                <w:sz w:val="20"/>
                <w:szCs w:val="20"/>
                <w:highlight w:val="yellow"/>
                <w:lang w:val="en-US"/>
              </w:rPr>
              <w:t>Keeping in touch.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10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Sem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15.</w:t>
            </w:r>
            <w:r>
              <w:rPr>
                <w:bCs/>
                <w:sz w:val="20"/>
                <w:szCs w:val="20"/>
                <w:lang w:val="en-US"/>
              </w:rPr>
              <w:t xml:space="preserve"> Theme</w:t>
            </w:r>
          </w:p>
          <w:p>
            <w:pPr>
              <w:pStyle w:val="style0"/>
              <w:snapToGrid w:val="false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Unit 10</w:t>
            </w:r>
            <w:r>
              <w:rPr>
                <w:bCs/>
                <w:sz w:val="20"/>
                <w:szCs w:val="20"/>
                <w:lang w:val="en-US"/>
              </w:rPr>
              <w:t xml:space="preserve"> B.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Communication</w:t>
            </w:r>
            <w:r>
              <w:rPr>
                <w:bCs/>
                <w:sz w:val="20"/>
                <w:szCs w:val="20"/>
                <w:lang w:val="en-US"/>
              </w:rPr>
              <w:t xml:space="preserve">. Unit Question: Do </w:t>
            </w:r>
            <w:r>
              <w:rPr>
                <w:bCs/>
                <w:sz w:val="20"/>
                <w:szCs w:val="20"/>
                <w:lang w:val="en-US"/>
              </w:rPr>
              <w:t xml:space="preserve">people </w:t>
            </w:r>
            <w:r>
              <w:rPr>
                <w:bCs/>
                <w:sz w:val="20"/>
                <w:szCs w:val="20"/>
                <w:lang w:val="en-US"/>
              </w:rPr>
              <w:t xml:space="preserve">communicate </w:t>
            </w:r>
            <w:r>
              <w:rPr>
                <w:bCs/>
                <w:sz w:val="20"/>
                <w:szCs w:val="20"/>
                <w:lang w:val="en-US"/>
              </w:rPr>
              <w:t>better now than in the past</w:t>
            </w:r>
            <w:r>
              <w:rPr>
                <w:bCs/>
                <w:sz w:val="20"/>
                <w:szCs w:val="20"/>
                <w:lang w:val="en-US"/>
              </w:rPr>
              <w:t xml:space="preserve">? </w:t>
            </w:r>
            <w:r>
              <w:rPr>
                <w:bCs/>
                <w:sz w:val="20"/>
                <w:szCs w:val="20"/>
                <w:lang w:val="en-US"/>
              </w:rPr>
              <w:t>Readi</w:t>
            </w:r>
            <w:r>
              <w:rPr>
                <w:bCs/>
                <w:sz w:val="20"/>
                <w:szCs w:val="20"/>
                <w:lang w:val="en-US"/>
              </w:rPr>
              <w:t xml:space="preserve">ng: </w:t>
            </w:r>
            <w:r>
              <w:rPr>
                <w:bCs/>
                <w:sz w:val="20"/>
                <w:szCs w:val="20"/>
                <w:lang w:val="en-US"/>
              </w:rPr>
              <w:t>identify</w:t>
            </w:r>
            <w:r>
              <w:rPr>
                <w:bCs/>
                <w:sz w:val="20"/>
                <w:szCs w:val="20"/>
                <w:lang w:val="en-US"/>
              </w:rPr>
              <w:t>ing</w:t>
            </w:r>
            <w:r>
              <w:rPr>
                <w:bCs/>
                <w:sz w:val="20"/>
                <w:szCs w:val="20"/>
                <w:lang w:val="en-US"/>
              </w:rPr>
              <w:t xml:space="preserve"> the author’s purpose, audience, </w:t>
            </w:r>
            <w:r>
              <w:rPr>
                <w:bCs/>
                <w:sz w:val="20"/>
                <w:szCs w:val="20"/>
                <w:lang w:val="en-US"/>
              </w:rPr>
              <w:t>and</w:t>
            </w:r>
            <w:r>
              <w:rPr>
                <w:bCs/>
                <w:sz w:val="20"/>
                <w:szCs w:val="20"/>
                <w:lang w:val="en-US"/>
              </w:rPr>
              <w:t xml:space="preserve"> tone</w:t>
            </w:r>
            <w:r>
              <w:rPr>
                <w:bCs/>
                <w:sz w:val="20"/>
                <w:szCs w:val="20"/>
                <w:lang w:val="en-US"/>
              </w:rPr>
              <w:t xml:space="preserve">. Vocabulary: </w:t>
            </w:r>
            <w:r>
              <w:rPr>
                <w:bCs/>
                <w:sz w:val="20"/>
                <w:szCs w:val="20"/>
                <w:lang w:val="en-US"/>
              </w:rPr>
              <w:t>using the dictionary</w:t>
            </w:r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Cs/>
                <w:sz w:val="20"/>
                <w:szCs w:val="20"/>
                <w:lang w:val="en-US"/>
              </w:rPr>
              <w:t xml:space="preserve">Writing: writing an opinion essay with a counterargument. </w:t>
            </w:r>
            <w:r>
              <w:rPr>
                <w:bCs/>
                <w:sz w:val="20"/>
                <w:szCs w:val="20"/>
                <w:lang w:val="en-US"/>
              </w:rPr>
              <w:t>Grammar:</w:t>
            </w:r>
            <w:r>
              <w:rPr>
                <w:bCs/>
                <w:sz w:val="20"/>
                <w:szCs w:val="20"/>
                <w:lang w:val="en-US"/>
              </w:rPr>
              <w:t xml:space="preserve"> sentence fragments</w:t>
            </w:r>
            <w:r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snapToGrid w:val="false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en-US" w:eastAsia="ar-SA"/>
              </w:rPr>
              <w:t>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snapToGrid w:val="false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IWS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.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Colloquium. 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45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  <w:highlight w:val="cyan"/>
                <w:lang w:val="en-US"/>
              </w:rPr>
              <w:t xml:space="preserve"> units. 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Oxford Word Skills. Ruth </w:t>
            </w:r>
            <w:r>
              <w:rPr>
                <w:sz w:val="20"/>
                <w:szCs w:val="20"/>
                <w:highlight w:val="cyan"/>
                <w:lang w:val="en-US"/>
              </w:rPr>
              <w:t>Gairns</w:t>
            </w:r>
            <w:r>
              <w:rPr>
                <w:sz w:val="20"/>
                <w:szCs w:val="20"/>
                <w:highlight w:val="cyan"/>
                <w:lang w:val="en-US"/>
              </w:rPr>
              <w:t xml:space="preserve"> and Stuart Redman. </w:t>
            </w:r>
            <w:r>
              <w:rPr>
                <w:sz w:val="20"/>
                <w:szCs w:val="20"/>
                <w:highlight w:val="cyan"/>
                <w:lang w:val="en-US"/>
              </w:rPr>
              <w:t>Inermediate</w:t>
            </w:r>
            <w:r>
              <w:rPr>
                <w:sz w:val="20"/>
                <w:szCs w:val="20"/>
                <w:highlight w:val="cyan"/>
                <w:lang w:val="en-US"/>
              </w:rPr>
              <w:t>. Oxford University Press. 2017.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blPrEx/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LEVEL CONTROL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179"/>
              <w:snapToGrid w:val="false"/>
              <w:spacing w:after="0" w:lineRule="auto" w:line="24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</w:tbl>
    <w:p>
      <w:pPr>
        <w:pStyle w:val="style0"/>
        <w:jc w:val="both"/>
        <w:rPr>
          <w:sz w:val="20"/>
          <w:szCs w:val="20"/>
          <w:lang w:val="en-US"/>
        </w:rPr>
      </w:pPr>
    </w:p>
    <w:p>
      <w:pPr>
        <w:pStyle w:val="style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Dean </w:t>
      </w:r>
      <w:r>
        <w:rPr>
          <w:sz w:val="20"/>
          <w:szCs w:val="20"/>
        </w:rPr>
        <w:t>________________________________</w:t>
      </w:r>
      <w:r>
        <w:rPr>
          <w:sz w:val="20"/>
          <w:szCs w:val="20"/>
          <w:lang w:val="en-US"/>
        </w:rPr>
        <w:t xml:space="preserve"> B.U. </w:t>
      </w:r>
      <w:r>
        <w:rPr>
          <w:sz w:val="20"/>
          <w:szCs w:val="20"/>
          <w:lang w:val="en-US"/>
        </w:rPr>
        <w:t>Zholdasbekova</w:t>
      </w:r>
    </w:p>
    <w:p>
      <w:pPr>
        <w:pStyle w:val="style0"/>
        <w:jc w:val="both"/>
        <w:rPr>
          <w:sz w:val="20"/>
          <w:szCs w:val="20"/>
          <w:lang w:val="en-US"/>
        </w:rPr>
      </w:pPr>
    </w:p>
    <w:p>
      <w:pPr>
        <w:pStyle w:val="style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Head of Department ___________________</w:t>
      </w:r>
      <w:r>
        <w:rPr>
          <w:sz w:val="20"/>
          <w:szCs w:val="20"/>
          <w:lang w:val="en-US"/>
        </w:rPr>
        <w:t>_</w:t>
      </w:r>
      <w:r>
        <w:rPr>
          <w:sz w:val="20"/>
          <w:szCs w:val="20"/>
          <w:lang w:val="en-US"/>
        </w:rPr>
        <w:t xml:space="preserve"> R.A. </w:t>
      </w:r>
      <w:r>
        <w:rPr>
          <w:sz w:val="20"/>
          <w:szCs w:val="20"/>
          <w:lang w:val="en-US"/>
        </w:rPr>
        <w:t>Avakova</w:t>
      </w:r>
    </w:p>
    <w:p>
      <w:pPr>
        <w:pStyle w:val="style0"/>
        <w:jc w:val="both"/>
        <w:rPr>
          <w:sz w:val="28"/>
          <w:szCs w:val="28"/>
          <w:lang w:val="en-US"/>
        </w:rPr>
      </w:pPr>
      <w:r>
        <w:rPr>
          <w:sz w:val="20"/>
          <w:szCs w:val="20"/>
          <w:lang w:val="en-US"/>
        </w:rPr>
        <w:t>Lecturer _____________________________</w:t>
      </w:r>
      <w:r>
        <w:rPr>
          <w:sz w:val="20"/>
          <w:szCs w:val="20"/>
          <w:lang w:val="en-US"/>
        </w:rPr>
        <w:t xml:space="preserve"> Zh.A. Alisheva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1E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link w:val="style4097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yle4097">
    <w:name w:val="Абзац списка Знак"/>
    <w:next w:val="style4097"/>
    <w:link w:val="style179"/>
    <w:uiPriority w:val="34"/>
    <w:rPr>
      <w:rFonts w:ascii="Calibri" w:cs="Times New Roman" w:eastAsia="Calibri" w:hAnsi="Calibri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/>
    </w:pPr>
    <w:rPr/>
  </w:style>
  <w:style w:type="character" w:customStyle="1" w:styleId="style4098">
    <w:name w:val="short_text"/>
    <w:next w:val="style4098"/>
    <w:rPr>
      <w:rFonts w:cs="Times New Roman"/>
    </w:rPr>
  </w:style>
  <w:style w:type="paragraph" w:customStyle="1" w:styleId="style4099">
    <w:name w:val="Обычный1"/>
    <w:next w:val="style4099"/>
    <w:pPr>
      <w:suppressAutoHyphens/>
      <w:spacing w:after="0" w:lineRule="auto" w:line="240"/>
    </w:pPr>
    <w:rPr>
      <w:rFonts w:ascii="Times New Roman" w:cs="Times New Roman" w:eastAsia="Arial" w:hAnsi="Times New Roman"/>
      <w:sz w:val="20"/>
      <w:szCs w:val="20"/>
      <w:lang w:eastAsia="ar-SA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623D8-C7D8-4823-A0BD-3D02BDB8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3312</TotalTime>
  <Words>1447</Words>
  <Pages>3</Pages>
  <Characters>8495</Characters>
  <Application>WPS Office</Application>
  <DocSecurity>0</DocSecurity>
  <Paragraphs>303</Paragraphs>
  <ScaleCrop>false</ScaleCrop>
  <LinksUpToDate>false</LinksUpToDate>
  <CharactersWithSpaces>9760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2022-06-22T11:36:00Z</dcterms:created>
  <dc:creator>410</dc:creator>
  <lastModifiedBy>M2004J19C</lastModifiedBy>
  <dcterms:modified xsi:type="dcterms:W3CDTF">2022-10-18T09:46:39Z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29330a37c7bb4ab4aae09433003a4887</vt:lpwstr>
  </property>
</Properties>
</file>